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C63" w:rsidRDefault="00C34C63" w:rsidP="00C34C63">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44"/>
      <w:r>
        <w:rPr>
          <w:rFonts w:ascii="Arial" w:hAnsi="Arial" w:cs="Arial"/>
          <w:b/>
          <w:bCs/>
          <w:sz w:val="20"/>
          <w:szCs w:val="20"/>
        </w:rPr>
        <w:t>Tài khoản 336 - Phải trả nội bộ</w:t>
      </w:r>
      <w:bookmarkEnd w:id="0"/>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tình hình thanh toán các khoản phải trả giữa doanh nghiệp (đơn vị cấp trên) với các đơn vị trực thuộc hạch toán phụ thuộc có tổ chức công tác kế toán (đơn vị cấp dưới); Giữa các đơn vị hạch toán phụ thuộc của cùng một doanh nghiệp với nhau.</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Trong doanh nghiệp, việc phân loại các đơn vị cấp dưới trực thuộc cho mục đích kế toán được căn cứ vào bản chất của đơn vị (hạch toán độc lập hay hạch toán phụ thuộc, có tư cách pháp nhân hay không, có người đại diện trước pháp luật hay không) mà không phụ thuộc vào tên gọi của đơn vị đó (chi nhánh, xí nghiệp, tổ, đội...).</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Các khoản phải trả nội bộ phản ánh trên tài khoản 336 "Phải trả nội bộ" bao gồm khoản phải trả về vốn kinh doanh và các khoản đơn vị hạch toán phụ thuộc phải nộp doanh nghiệp, phải trả đơn vị hạch toán phụ thuộc khác; Các khoản doanh nghiệp phải cấp cho đơn vị hạch toán phụ thuộc. Các khoản phải trả, phải nộp có thể là quan hệ nhận tài sản, vốn, thanh toán vãng lai, chi hộ trả hộ, ...;</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Tùy theo việc phân cấp quản lý và đặc điểm hoạt động, doanh nghiệp quyết định đơn vị hạch toán phụ thuộc ghi nhận khoản vốn kinh doanh được doanh nghiệp cấp vào TK 3361 - Phải trả nội bộ về vốn kinh doanh hoặc TK 411 - Vốn đầu tư của chủ sở hữu.</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Tài khoản 336 "Phải trả nội bộ" được hạch toán chi tiết cho từng đơn vị nội bộ có quan hệ thanh toán, trong đó được theo dõi theo từng khoản phải nộp, phải trả.</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Cuối kỳ, kế toán tiến hành kiểm tra, đối chiếu tài khoản 136, tài khoản 336 giữa các đơn vị nội bộ theo từng nội dung thanh toán để lập biên bản thanh toán bù trừ với từng đơn vị làm căn cứ hạch toán bù trừ trên 2 tài khoản này. Khi đối chiếu, nếu có chênh lệch, phải tìm nguyên nhân và điều chỉnh kịp thời.</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336 - Phải trả nội bộ</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đã trả cho đơn vị hạch toán phụ thuộc;</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đơn vị hạch toán phụ thuộc đã nộp doanh nghiệp;</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đã trả các khoản mà các đơn vị nội bộ chi hộ, hoặc thu hộ đơn vị nội bộ;</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Bù trừ các khoản phải thu với các khoản phải trả của cùng một đơn vị có quan hệ thanh toán.</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vốn kinh doanh của đơn vị hạch toán phụ thuộc được doanh nghiệp cấp;</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đơn vị hạch toán phụ thuộc phải nộp doanh nghiệp;</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phải trả cho đơn vị hạch toán phụ thuộc;</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phải trả cho các đơn vị khác trong nội bộ về các khoản đã được đơn vị khác chi hộ và các khoản thu hộ đơn vị khác.</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Có:</w:t>
      </w:r>
      <w:r>
        <w:rPr>
          <w:rFonts w:ascii="Arial" w:hAnsi="Arial" w:cs="Arial"/>
          <w:sz w:val="20"/>
          <w:szCs w:val="20"/>
        </w:rPr>
        <w:t> Số tiền còn phải trả, phải nộp cho doanh nghiệp và các đơn vị trong nội bộ doanh nghiệp.</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336 - Phải trả nội bộ, có 2 tài khoản cấp 2:</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3361 - Phải trả nội bộ về vốn kinh doanh: </w:t>
      </w:r>
      <w:r>
        <w:rPr>
          <w:rFonts w:ascii="Arial" w:hAnsi="Arial" w:cs="Arial"/>
          <w:sz w:val="20"/>
          <w:szCs w:val="20"/>
        </w:rPr>
        <w:t>Tài khoản này chỉ mở ở đơn vị cấp dưới hạch toán phụ thuộc để phản ánh số vốn kinh doanh được đơn vị cấp trên giao.</w:t>
      </w:r>
    </w:p>
    <w:p w:rsidR="00C34C63" w:rsidRDefault="00C34C63" w:rsidP="00C34C6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3368 - Phải trả nội bộ khác: </w:t>
      </w:r>
      <w:r>
        <w:rPr>
          <w:rFonts w:ascii="Arial" w:hAnsi="Arial" w:cs="Arial"/>
          <w:sz w:val="20"/>
          <w:szCs w:val="20"/>
        </w:rPr>
        <w:t>Phản ánh tất cả các khoản phải trả khác giữa các đơn vị nội bộ trong cùng một doanh nghiệp.</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C63"/>
    <w:rsid w:val="00943631"/>
    <w:rsid w:val="00C34C6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2DA0D2-D837-4A09-9F56-C73FDC70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34C63"/>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0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434</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2024-03-18T01:49:00Z</dcterms:created>
  <dcterms:modified xsi:type="dcterms:W3CDTF">2024-03-18T01:49:00Z</dcterms:modified>
</cp:coreProperties>
</file>